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C4E44F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44"/>
          <w:szCs w:val="44"/>
          <w:lang w:val="en-US" w:eastAsia="zh-CN"/>
        </w:rPr>
      </w:pPr>
      <w:bookmarkStart w:id="0" w:name="_Toc7582"/>
      <w:bookmarkStart w:id="1" w:name="_Toc22985"/>
      <w:r>
        <w:rPr>
          <w:rFonts w:hint="default" w:ascii="Times New Roman" w:hAnsi="Times New Roman" w:eastAsia="宋体" w:cs="Times New Roman"/>
          <w:b/>
          <w:bCs/>
          <w:color w:val="auto"/>
          <w:sz w:val="44"/>
          <w:szCs w:val="44"/>
        </w:rPr>
        <w:t>台儿庄区公共实训基地建设项目</w:t>
      </w:r>
      <w:r>
        <w:rPr>
          <w:rFonts w:hint="default" w:ascii="Times New Roman" w:hAnsi="Times New Roman" w:eastAsia="宋体" w:cs="Times New Roman"/>
          <w:b/>
          <w:bCs/>
          <w:color w:val="auto"/>
          <w:sz w:val="44"/>
          <w:szCs w:val="44"/>
          <w:lang w:val="en-US" w:eastAsia="zh-CN"/>
        </w:rPr>
        <w:t>地块</w:t>
      </w:r>
    </w:p>
    <w:p w14:paraId="32941F65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44"/>
          <w:szCs w:val="44"/>
          <w:lang w:val="en-US" w:eastAsia="zh-CN"/>
        </w:rPr>
      </w:pPr>
    </w:p>
    <w:p w14:paraId="7018E8E7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 w:val="44"/>
          <w:szCs w:val="44"/>
          <w:lang w:val="en-US" w:eastAsia="zh-CN"/>
        </w:rPr>
        <w:t>土壤污染</w:t>
      </w:r>
      <w:bookmarkEnd w:id="0"/>
      <w:r>
        <w:rPr>
          <w:rFonts w:hint="default" w:ascii="Times New Roman" w:hAnsi="Times New Roman" w:eastAsia="宋体" w:cs="Times New Roman"/>
          <w:b/>
          <w:bCs/>
          <w:color w:val="auto"/>
          <w:sz w:val="44"/>
          <w:szCs w:val="44"/>
          <w:lang w:val="en-US" w:eastAsia="zh-CN"/>
        </w:rPr>
        <w:t>状况调查报告</w:t>
      </w:r>
    </w:p>
    <w:p w14:paraId="4846C440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517CD294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3219A697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73FA5232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716BC60A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13177AA7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500485AE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10AE6DC0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63B90E9D">
      <w:pPr>
        <w:pageBreakBefore w:val="0"/>
        <w:wordWrap/>
        <w:topLinePunct w:val="0"/>
        <w:bidi w:val="0"/>
        <w:spacing w:beforeAutospacing="0" w:afterAutospacing="0" w:line="360" w:lineRule="auto"/>
        <w:jc w:val="both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38038F90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458F6D5B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2910CFC1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2C7B7C46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31D3CE13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3D6CDA7C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5B0080F6">
      <w:pPr>
        <w:pageBreakBefore w:val="0"/>
        <w:wordWrap/>
        <w:topLinePunct w:val="0"/>
        <w:bidi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</w:rPr>
      </w:pPr>
    </w:p>
    <w:p w14:paraId="6406E637">
      <w:pPr>
        <w:pageBreakBefore w:val="0"/>
        <w:wordWrap/>
        <w:topLinePunct w:val="0"/>
        <w:autoSpaceDE w:val="0"/>
        <w:autoSpaceDN w:val="0"/>
        <w:bidi w:val="0"/>
        <w:adjustRightInd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color w:val="auto"/>
          <w:kern w:val="0"/>
          <w:sz w:val="28"/>
          <w:szCs w:val="28"/>
        </w:rPr>
      </w:pPr>
      <w:bookmarkStart w:id="2" w:name="_Toc29983"/>
      <w:r>
        <w:rPr>
          <w:rFonts w:hint="default" w:ascii="Times New Roman" w:hAnsi="Times New Roman" w:eastAsia="宋体" w:cs="Times New Roman"/>
          <w:b/>
          <w:color w:val="auto"/>
          <w:kern w:val="0"/>
          <w:sz w:val="28"/>
          <w:szCs w:val="28"/>
        </w:rPr>
        <w:t>济南坤中检测有限公司</w:t>
      </w:r>
      <w:bookmarkEnd w:id="2"/>
    </w:p>
    <w:p w14:paraId="30A6DA74">
      <w:pPr>
        <w:pageBreakBefore w:val="0"/>
        <w:wordWrap/>
        <w:topLinePunct w:val="0"/>
        <w:autoSpaceDE w:val="0"/>
        <w:autoSpaceDN w:val="0"/>
        <w:bidi w:val="0"/>
        <w:adjustRightInd w:val="0"/>
        <w:spacing w:beforeAutospacing="0" w:afterAutospacing="0" w:line="360" w:lineRule="auto"/>
        <w:jc w:val="center"/>
        <w:outlineLvl w:val="9"/>
        <w:rPr>
          <w:rFonts w:hint="default" w:ascii="Times New Roman" w:hAnsi="Times New Roman" w:eastAsia="宋体" w:cs="Times New Roman"/>
          <w:b/>
          <w:color w:val="auto"/>
          <w:kern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auto"/>
          <w:kern w:val="0"/>
          <w:sz w:val="28"/>
          <w:szCs w:val="28"/>
          <w:lang w:val="en-US" w:eastAsia="zh-CN"/>
        </w:rPr>
        <w:t>2025年5月</w:t>
      </w:r>
    </w:p>
    <w:p w14:paraId="06B3C86B">
      <w:pPr>
        <w:pStyle w:val="3"/>
        <w:ind w:left="0" w:leftChars="0" w:firstLine="0" w:firstLineChars="0"/>
        <w:jc w:val="center"/>
        <w:outlineLvl w:val="0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</w:pPr>
    </w:p>
    <w:p w14:paraId="10D26D81">
      <w:pPr>
        <w:pStyle w:val="3"/>
        <w:ind w:left="0" w:leftChars="0" w:firstLine="0" w:firstLineChars="0"/>
        <w:jc w:val="center"/>
        <w:outlineLvl w:val="0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</w:pPr>
      <w:bookmarkStart w:id="3" w:name="_GoBack"/>
      <w:bookmarkEnd w:id="3"/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摘 要</w:t>
      </w:r>
      <w:bookmarkEnd w:id="1"/>
    </w:p>
    <w:p w14:paraId="31EC16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本次调查地块为为台儿庄区公共实训基地建设项目地块，调查地块位于枣庄市台儿庄区马兰屯镇台北路和华明路交叉口，面积19535m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（约29.33亩）。地块中心坐标为E117.714205°，N34.585594°。调查地块开发利用较早，2001年前为农用地，2002年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地块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  <w:t>内建设了枣庄市制冷设备厂（不锈钢管生产）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，地块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内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  <w:t>东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北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侧为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办公楼和食堂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南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侧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  <w:t>建设了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2栋生产车间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。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2003年枣庄市台儿庄区国土资源局（现为台儿庄自然资源局）对未批先建进行了处罚。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2009年土地使用性质改成建设用地，使用权人为马兰屯镇政府。2009年不锈钢生产企业更名为枣庄市沃德利不锈钢有限公司，2012-2019年地块内部分区域出租给枣庄申科汽车销售服务有限公司，在场地西北侧建设了一栋钢结构单层厂房，2019年枣庄申科汽车销售服务有限公司关闭搬迁，汽车展厅改成以教育为目的科技馆。2019年枣庄市沃德利不锈钢有限公司搬迁。华艺新建实训基地3号库，连同原2栋加工车间翻建后用做实训基地。目前地块内存在1栋砖混结构两层办公楼，1栋砖混结构单层食堂，3栋钢结构单层实训车间，1栋钢结构单层科技馆。</w:t>
      </w:r>
    </w:p>
    <w:p w14:paraId="11A6C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原用地性质为二类建设用地，现规划为教育用地，属于《土壤环境质量建设用地土壤污染风险管控标准》(GB36600-2018)中规定的第二类用地，根据《中华人民共和国土壤污染防治法》（2019年1月1日起施行）第五十九条“土地用途变更为住宅、公共管理与公共服务用地的，变更前应当按照规定进行土壤污染状况调查”，因此需对该地块进行土壤污染状况调查评估。台儿庄教育和体育局委托济南坤中检测有限公司（编制单位）对该地块进行土壤污染状况调查。</w:t>
      </w:r>
    </w:p>
    <w:p w14:paraId="47407BD6">
      <w:pPr>
        <w:pStyle w:val="3"/>
        <w:ind w:left="0" w:leftChars="0" w:firstLine="480" w:firstLineChars="200"/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根据《建设用地土壤污染风险管控和修复监测技术导则》 （HJ25.2-2019），本次调查采用专业判断法与系统随机布点法相结合的原则，在地块内原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枣庄市沃德利不锈钢有限公司2个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加工车间各布置2个土壤采样点，在3号实训车间内部布设2个点位；在原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枣庄申科汽车销售服务有限公司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洗车区域布设1个土壤采样点；在办公楼旁边布置1个土壤采样点；选取地块外相对清洁的位置，在场区外绿化带内布设1个对照点位，共布置9个土壤采样点。根据《建设用地土壤污染风险管控和修复监测技术导则》 （HJ25.2-2019），同时兼顾重点监测区域，在地块内呈三角形布设3个地下水点位，在调查地块外地下水流向的上游，布设1个地下水对照点位。合计布设4个地下水点位。</w:t>
      </w:r>
    </w:p>
    <w:p w14:paraId="395D6FFD">
      <w:pPr>
        <w:pStyle w:val="3"/>
        <w:ind w:left="0" w:leftChars="0" w:firstLine="480" w:firstLineChars="200"/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根据《土壤环境质量建设用地土壤污染风险管控标准(试行)》(GB36600-2018)，地块的土壤污染状况调查分析测试指标为土壤：国标45项基本项，基本项外的关注污染物pH、锌、水溶性氟化物、石油烃（C10-C40），合计49项。土壤样品检测结果显示：土壤49个指标测试结果均不超《土壤环境质量建设用地土壤污染风险管控标准》（GB36600-2018）中的第二类用地筛选值。分析结果显示，调查的9个钻孔，29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件样品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，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3件平行样，平行样占比10.34%，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检测的49项指标均不超第二类用地筛选值。</w:t>
      </w:r>
    </w:p>
    <w:p w14:paraId="09FF39C8">
      <w:pPr>
        <w:pageBreakBefore w:val="0"/>
        <w:wordWrap/>
        <w:topLinePunct w:val="0"/>
        <w:bidi w:val="0"/>
        <w:spacing w:beforeAutospacing="0" w:afterAutospacing="0" w:line="360" w:lineRule="auto"/>
        <w:ind w:firstLine="480" w:firstLineChars="200"/>
        <w:outlineLvl w:val="9"/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根据地下水检测项目包含《地下水质量标准》（GB/T 14848-2017）表1中常规35项加常规指标外的关注污染物镍、二甲苯(总量)、石油烃（C10-C40）3项，合计38项。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本次调查地下水采集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件样品，1件平行样，平行样占比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25</w:t>
      </w:r>
      <w:r>
        <w:rPr>
          <w:rFonts w:hint="default" w:ascii="Times New Roman" w:hAnsi="Times New Roman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%。检测了38项指标，所有检测指标均不超Ⅳ类水限值。</w:t>
      </w:r>
    </w:p>
    <w:p w14:paraId="1C5F1CE7">
      <w:pPr>
        <w:pStyle w:val="3"/>
        <w:ind w:left="0" w:leftChars="0" w:firstLine="480" w:firstLineChars="200"/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依据以上地块土壤调查结果分析，该地块不属于污染地块，不需要开展详细调查和风险评估，可作为开发利用的依据。</w:t>
      </w:r>
    </w:p>
    <w:p w14:paraId="75DA4EF2">
      <w:pPr>
        <w:pStyle w:val="3"/>
        <w:ind w:left="0" w:leftChars="0" w:firstLine="480" w:firstLineChars="200"/>
        <w:rPr>
          <w:rFonts w:hint="default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upperRoman" w:start="1"/>
          <w:cols w:space="425" w:num="1"/>
          <w:docGrid w:type="lines" w:linePitch="312" w:charSpace="0"/>
        </w:sectPr>
      </w:pPr>
    </w:p>
    <w:p w14:paraId="0A680EE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1A64AC"/>
    <w:rsid w:val="611A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360" w:lineRule="auto"/>
      <w:ind w:firstLine="480" w:firstLineChars="200"/>
    </w:pPr>
    <w:rPr>
      <w:sz w:val="24"/>
      <w:szCs w:val="20"/>
    </w:rPr>
  </w:style>
  <w:style w:type="paragraph" w:styleId="3">
    <w:name w:val="Body Text First Indent 2"/>
    <w:basedOn w:val="2"/>
    <w:qFormat/>
    <w:uiPriority w:val="0"/>
    <w:pPr>
      <w:keepNext w:val="0"/>
      <w:keepLines w:val="0"/>
      <w:widowControl/>
      <w:suppressLineNumbers w:val="0"/>
      <w:spacing w:before="0" w:beforeAutospacing="0" w:after="120" w:afterAutospacing="0"/>
      <w:ind w:left="420" w:leftChars="200" w:right="0" w:firstLine="420" w:firstLineChars="20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2025-05-22T01:10:00Z</dcterms:created>
  <dc:creator>李仓伟</dc:creator>
  <cp:lastModifiedBy>李仓伟</cp:lastModifiedBy>
  <dcterms:modified xsi:type="dcterms:W3CDTF">2025-05-22T01:11:54Z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8B36758B6FFA47F9B1186EBFF8A06B60_11</vt:lpwstr>
  </property>
  <property fmtid="{D5CDD505-2E9C-101B-9397-08002B2CF9AE}" pid="4" name="KSOTemplateDocerSaveRecord">
    <vt:lpwstr>eyJoZGlkIjoiYWFjZjY4YTQ3Y2UzODg5ODIwMWViYzIzY2E2NzU3MmMiLCJ1c2VySWQiOiI2MTI5OTA0MjUifQ==</vt:lpwstr>
  </property>
</Properties>
</file>